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关于门户网站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sz w:val="36"/>
          <w:szCs w:val="36"/>
        </w:rPr>
        <w:t>月考核情况的通报</w:t>
      </w:r>
    </w:p>
    <w:p>
      <w:pPr>
        <w:jc w:val="left"/>
        <w:rPr>
          <w:rFonts w:ascii="仿宋" w:hAnsi="仿宋" w:eastAsia="仿宋" w:cs="宋体"/>
          <w:kern w:val="0"/>
          <w:sz w:val="13"/>
          <w:szCs w:val="13"/>
        </w:rPr>
      </w:pPr>
    </w:p>
    <w:p>
      <w:pPr>
        <w:ind w:firstLine="64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根据《杭州市审管办（公资办）关于加强门户网站建设的实施办法》（杭审管办[2015]13号）,现将门户网站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月考核情况通报如下: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区县（市）审管办（行政服务中心）考核组</w:t>
      </w:r>
    </w:p>
    <w:p>
      <w:pPr>
        <w:spacing w:line="560" w:lineRule="exact"/>
        <w:ind w:left="64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月，各区县（市）审管办（行政服务中心）报送并被</w:t>
      </w:r>
    </w:p>
    <w:p>
      <w:pPr>
        <w:pStyle w:val="4"/>
        <w:numPr>
          <w:ilvl w:val="0"/>
          <w:numId w:val="0"/>
        </w:numPr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采用区县动态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篇；经验介绍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篇。其中同时被“最多跑一次</w:t>
      </w:r>
      <w:r>
        <w:rPr>
          <w:rFonts w:ascii="仿宋" w:hAnsi="仿宋" w:eastAsia="仿宋" w:cs="宋体"/>
          <w:kern w:val="0"/>
          <w:sz w:val="32"/>
          <w:szCs w:val="32"/>
        </w:rPr>
        <w:t>”</w:t>
      </w:r>
      <w:r>
        <w:rPr>
          <w:rFonts w:hint="eastAsia" w:ascii="仿宋" w:hAnsi="仿宋" w:eastAsia="仿宋" w:cs="宋体"/>
          <w:kern w:val="0"/>
          <w:sz w:val="32"/>
          <w:szCs w:val="32"/>
        </w:rPr>
        <w:t>专栏采用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篇；调查报告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篇。信息平均分为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1.4</w:t>
      </w:r>
      <w:r>
        <w:rPr>
          <w:rFonts w:hint="eastAsia" w:ascii="仿宋" w:hAnsi="仿宋" w:eastAsia="仿宋" w:cs="宋体"/>
          <w:kern w:val="0"/>
          <w:sz w:val="32"/>
          <w:szCs w:val="32"/>
        </w:rPr>
        <w:t>分，及格线为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1.12</w:t>
      </w:r>
      <w:r>
        <w:rPr>
          <w:rFonts w:hint="eastAsia" w:ascii="仿宋" w:hAnsi="仿宋" w:eastAsia="仿宋" w:cs="宋体"/>
          <w:kern w:val="0"/>
          <w:sz w:val="32"/>
          <w:szCs w:val="32"/>
        </w:rPr>
        <w:t>分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15家参加考核单位中有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家超过及格线, 达标率为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42</w:t>
      </w:r>
      <w:r>
        <w:rPr>
          <w:rFonts w:hint="eastAsia" w:ascii="仿宋" w:hAnsi="仿宋" w:eastAsia="仿宋" w:cs="宋体"/>
          <w:kern w:val="0"/>
          <w:sz w:val="32"/>
          <w:szCs w:val="32"/>
        </w:rPr>
        <w:t>%。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2月</w:t>
      </w:r>
      <w:r>
        <w:rPr>
          <w:rFonts w:hint="eastAsia" w:ascii="仿宋" w:hAnsi="仿宋" w:eastAsia="仿宋" w:cs="宋体"/>
          <w:kern w:val="0"/>
          <w:sz w:val="32"/>
          <w:szCs w:val="32"/>
        </w:rPr>
        <w:t>得分前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宋体"/>
          <w:kern w:val="0"/>
          <w:sz w:val="32"/>
          <w:szCs w:val="32"/>
        </w:rPr>
        <w:t>位的是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钱塘新区管委会、上城区审管办。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1-4月</w:t>
      </w:r>
      <w:r>
        <w:rPr>
          <w:rFonts w:hint="eastAsia" w:ascii="仿宋" w:hAnsi="仿宋" w:eastAsia="仿宋" w:cs="宋体"/>
          <w:kern w:val="0"/>
          <w:sz w:val="32"/>
          <w:szCs w:val="32"/>
        </w:rPr>
        <w:t>累计得分前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宋体"/>
          <w:kern w:val="0"/>
          <w:sz w:val="32"/>
          <w:szCs w:val="32"/>
        </w:rPr>
        <w:t>位的是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钱塘新区管委会、富阳区行政服务中心、上城区审管办</w:t>
      </w:r>
      <w:r>
        <w:rPr>
          <w:rFonts w:hint="eastAsia" w:ascii="仿宋" w:hAnsi="仿宋" w:eastAsia="仿宋" w:cs="宋体"/>
          <w:kern w:val="0"/>
          <w:sz w:val="32"/>
          <w:szCs w:val="32"/>
        </w:rPr>
        <w:t>（具体得分和排名详见附表1）。</w:t>
      </w:r>
    </w:p>
    <w:p>
      <w:pPr>
        <w:pStyle w:val="4"/>
        <w:numPr>
          <w:ilvl w:val="0"/>
          <w:numId w:val="0"/>
        </w:numPr>
        <w:ind w:left="645" w:leftChars="0"/>
        <w:jc w:val="left"/>
        <w:rPr>
          <w:rFonts w:ascii="楷体" w:hAnsi="楷体" w:eastAsia="楷体" w:cs="宋体"/>
          <w:kern w:val="0"/>
          <w:sz w:val="32"/>
          <w:szCs w:val="32"/>
        </w:rPr>
      </w:pPr>
    </w:p>
    <w:p>
      <w:pPr>
        <w:pStyle w:val="4"/>
        <w:numPr>
          <w:ilvl w:val="0"/>
          <w:numId w:val="1"/>
        </w:numPr>
        <w:ind w:firstLineChars="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机关处室及直属事业单位考核组</w:t>
      </w:r>
    </w:p>
    <w:p>
      <w:pPr>
        <w:ind w:left="64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月份，机关各处室及直属事业单位认真维护各自责任</w:t>
      </w:r>
    </w:p>
    <w:p>
      <w:pPr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栏目，更新及时，审核到位，没有出现扣分。报送并被采用中心动态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1-4月累计50篇；</w:t>
      </w:r>
      <w:r>
        <w:rPr>
          <w:rFonts w:hint="eastAsia" w:ascii="仿宋" w:hAnsi="仿宋" w:eastAsia="仿宋" w:cs="宋体"/>
          <w:kern w:val="0"/>
          <w:sz w:val="32"/>
          <w:szCs w:val="32"/>
        </w:rPr>
        <w:t>经验介绍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篇，调查报告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宋体"/>
          <w:kern w:val="0"/>
          <w:sz w:val="32"/>
          <w:szCs w:val="32"/>
        </w:rPr>
        <w:t>信息平均分为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2.75</w:t>
      </w:r>
      <w:r>
        <w:rPr>
          <w:rFonts w:hint="eastAsia" w:ascii="仿宋" w:hAnsi="仿宋" w:eastAsia="仿宋" w:cs="宋体"/>
          <w:kern w:val="0"/>
          <w:sz w:val="32"/>
          <w:szCs w:val="32"/>
        </w:rPr>
        <w:t>分，及格线为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2.2</w:t>
      </w:r>
      <w:r>
        <w:rPr>
          <w:rFonts w:hint="eastAsia" w:ascii="仿宋" w:hAnsi="仿宋" w:eastAsia="仿宋" w:cs="宋体"/>
          <w:kern w:val="0"/>
          <w:sz w:val="32"/>
          <w:szCs w:val="32"/>
        </w:rPr>
        <w:t>分，8家参加考核单位中有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家超过及格线，达标率为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12.5</w:t>
      </w:r>
      <w:r>
        <w:rPr>
          <w:rFonts w:hint="eastAsia" w:ascii="仿宋" w:hAnsi="仿宋" w:eastAsia="仿宋" w:cs="宋体"/>
          <w:kern w:val="0"/>
          <w:sz w:val="32"/>
          <w:szCs w:val="32"/>
        </w:rPr>
        <w:t>%。得分前两位的是公共资源交易中心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、秘书处。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1-4月累计得分前两位的是</w:t>
      </w:r>
      <w:r>
        <w:rPr>
          <w:rFonts w:hint="eastAsia" w:ascii="仿宋" w:hAnsi="仿宋" w:eastAsia="仿宋" w:cs="宋体"/>
          <w:kern w:val="0"/>
          <w:sz w:val="32"/>
          <w:szCs w:val="32"/>
        </w:rPr>
        <w:t>公共资源交易中心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、秘书处</w:t>
      </w:r>
      <w:r>
        <w:rPr>
          <w:rFonts w:hint="eastAsia" w:ascii="仿宋" w:hAnsi="仿宋" w:eastAsia="仿宋" w:cs="宋体"/>
          <w:kern w:val="0"/>
          <w:sz w:val="32"/>
          <w:szCs w:val="32"/>
        </w:rPr>
        <w:t>（具体得分和排名详见附表2）。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近期</w:t>
      </w:r>
      <w:r>
        <w:rPr>
          <w:rFonts w:hint="eastAsia" w:ascii="仿宋" w:hAnsi="仿宋" w:eastAsia="仿宋" w:cs="宋体"/>
          <w:kern w:val="0"/>
          <w:sz w:val="32"/>
          <w:szCs w:val="32"/>
        </w:rPr>
        <w:t>，省里将对政务服务类网站进行重点检查，网站牵头管理处室和栏目维护责任处室要</w:t>
      </w:r>
      <w:r>
        <w:rPr>
          <w:rFonts w:hint="eastAsia" w:ascii="仿宋" w:hAnsi="仿宋" w:eastAsia="仿宋"/>
          <w:sz w:val="32"/>
          <w:szCs w:val="32"/>
        </w:rPr>
        <w:t>提高政治意识，增强责任意识，发挥主体作用，确保网站维护不出差错，共同努力把门户网站建设好。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63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3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网站建设考核领导小组</w:t>
      </w:r>
    </w:p>
    <w:p>
      <w:pPr>
        <w:ind w:firstLine="63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日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发：各区县（市）审管办（行政服务中心）、</w:t>
      </w:r>
      <w:r>
        <w:rPr>
          <w:rFonts w:hint="eastAsia" w:ascii="仿宋" w:hAnsi="仿宋" w:eastAsia="仿宋" w:cs="宋体"/>
          <w:kern w:val="0"/>
          <w:sz w:val="30"/>
          <w:szCs w:val="30"/>
        </w:rPr>
        <w:t>开发区</w:t>
      </w:r>
      <w:r>
        <w:rPr>
          <w:rFonts w:hint="eastAsia" w:ascii="仿宋" w:hAnsi="仿宋" w:eastAsia="仿宋"/>
          <w:sz w:val="32"/>
          <w:szCs w:val="32"/>
        </w:rPr>
        <w:t xml:space="preserve">行政服务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中心;</w:t>
      </w:r>
      <w:r>
        <w:rPr>
          <w:rFonts w:hint="eastAsia" w:ascii="仿宋" w:hAnsi="仿宋" w:eastAsia="仿宋" w:cs="宋体"/>
          <w:kern w:val="0"/>
          <w:sz w:val="32"/>
          <w:szCs w:val="32"/>
        </w:rPr>
        <w:t>各处室、直属事业单位信息员</w:t>
      </w:r>
    </w:p>
    <w:p>
      <w:pPr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送：市审管办党组成员；</w:t>
      </w:r>
      <w:r>
        <w:rPr>
          <w:rFonts w:hint="eastAsia" w:ascii="仿宋" w:hAnsi="仿宋" w:eastAsia="仿宋" w:cs="宋体"/>
          <w:kern w:val="0"/>
          <w:sz w:val="32"/>
          <w:szCs w:val="32"/>
        </w:rPr>
        <w:t>各处室、直属事业单位主要负责人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40" w:lineRule="exact"/>
        <w:jc w:val="left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附表1：</w:t>
      </w:r>
    </w:p>
    <w:p>
      <w:pPr>
        <w:spacing w:line="440" w:lineRule="exact"/>
        <w:jc w:val="center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区县（市）审管办考核组</w:t>
      </w: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4</w:t>
      </w:r>
      <w:r>
        <w:rPr>
          <w:rFonts w:hint="eastAsia" w:ascii="黑体" w:hAnsi="宋体" w:eastAsia="黑体" w:cs="宋体"/>
          <w:kern w:val="0"/>
          <w:sz w:val="36"/>
          <w:szCs w:val="36"/>
        </w:rPr>
        <w:t>月门户网站考核统计表</w:t>
      </w:r>
    </w:p>
    <w:p>
      <w:pPr>
        <w:spacing w:line="440" w:lineRule="exact"/>
        <w:jc w:val="center"/>
        <w:rPr>
          <w:rFonts w:ascii="黑体" w:hAnsi="宋体" w:eastAsia="黑体" w:cs="宋体"/>
          <w:kern w:val="0"/>
          <w:sz w:val="10"/>
          <w:szCs w:val="10"/>
        </w:rPr>
      </w:pPr>
    </w:p>
    <w:tbl>
      <w:tblPr>
        <w:tblStyle w:val="2"/>
        <w:tblW w:w="1488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939"/>
        <w:gridCol w:w="851"/>
        <w:gridCol w:w="992"/>
        <w:gridCol w:w="825"/>
        <w:gridCol w:w="876"/>
        <w:gridCol w:w="855"/>
        <w:gridCol w:w="846"/>
        <w:gridCol w:w="709"/>
        <w:gridCol w:w="777"/>
        <w:gridCol w:w="782"/>
        <w:gridCol w:w="851"/>
        <w:gridCol w:w="579"/>
        <w:gridCol w:w="945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393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参加考核单位</w:t>
            </w:r>
          </w:p>
        </w:tc>
        <w:tc>
          <w:tcPr>
            <w:tcW w:w="5245" w:type="dxa"/>
            <w:gridSpan w:val="6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报送信息采用情况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信息分</w:t>
            </w:r>
          </w:p>
        </w:tc>
        <w:tc>
          <w:tcPr>
            <w:tcW w:w="77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平均分</w:t>
            </w:r>
          </w:p>
        </w:tc>
        <w:tc>
          <w:tcPr>
            <w:tcW w:w="78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及格线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4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得分</w:t>
            </w:r>
          </w:p>
        </w:tc>
        <w:tc>
          <w:tcPr>
            <w:tcW w:w="57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月排名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1-4月得分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1-4月排名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5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39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区县动态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每条2分）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经验介绍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每篇10分）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调查报告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每篇20分）</w:t>
            </w: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9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45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39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1-4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1-4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1-4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月</w:t>
            </w: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9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3939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上城区审管办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 xml:space="preserve">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7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1.4</w:t>
            </w:r>
          </w:p>
        </w:tc>
        <w:tc>
          <w:tcPr>
            <w:tcW w:w="7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1.12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29.6 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111.35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下城区审管办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ind w:firstLine="240" w:firstLineChars="1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777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14.8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13 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27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江干区审管办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 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12.2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拱墅区审管办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ind w:firstLine="240" w:firstLineChars="1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0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20.75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西湖区审管办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777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14.8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14.8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高新（滨江）行政服务中心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萧山区办事服务中心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ind w:firstLine="240" w:firstLineChars="1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777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14.8 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35.55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余杭区行政服务中心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ind w:firstLine="240" w:firstLineChars="1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 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桐庐县行政服务中心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淳安县审管办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建德市审管办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777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14.8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35.55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富阳区行政服务中心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777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14.8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122.2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临安市审管办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 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钱塘新区管委会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777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59.2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183.7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注:括号内的数字代表同时发布在“最多跑一次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专栏的稿件数，得分按1.5倍计算。</w:t>
      </w:r>
    </w:p>
    <w:p>
      <w:pPr>
        <w:jc w:val="center"/>
        <w:rPr>
          <w:rFonts w:ascii="仿宋" w:hAnsi="仿宋" w:eastAsia="仿宋"/>
          <w:sz w:val="24"/>
        </w:rPr>
      </w:pPr>
    </w:p>
    <w:p>
      <w:pPr>
        <w:jc w:val="left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附表2：</w:t>
      </w:r>
    </w:p>
    <w:p>
      <w:pPr>
        <w:jc w:val="center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机关处室及直属事业单位考核组</w:t>
      </w: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4</w:t>
      </w:r>
      <w:r>
        <w:rPr>
          <w:rFonts w:hint="eastAsia" w:ascii="黑体" w:hAnsi="宋体" w:eastAsia="黑体" w:cs="宋体"/>
          <w:kern w:val="0"/>
          <w:sz w:val="36"/>
          <w:szCs w:val="36"/>
        </w:rPr>
        <w:t>月门户网站考核统计表</w:t>
      </w:r>
    </w:p>
    <w:p>
      <w:pPr>
        <w:jc w:val="center"/>
        <w:rPr>
          <w:rFonts w:ascii="黑体" w:hAnsi="宋体" w:eastAsia="黑体" w:cs="宋体"/>
          <w:kern w:val="0"/>
          <w:sz w:val="32"/>
          <w:szCs w:val="32"/>
        </w:rPr>
      </w:pPr>
    </w:p>
    <w:tbl>
      <w:tblPr>
        <w:tblStyle w:val="2"/>
        <w:tblW w:w="14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2523"/>
        <w:gridCol w:w="1050"/>
        <w:gridCol w:w="979"/>
        <w:gridCol w:w="1020"/>
        <w:gridCol w:w="959"/>
        <w:gridCol w:w="870"/>
        <w:gridCol w:w="855"/>
        <w:gridCol w:w="900"/>
        <w:gridCol w:w="748"/>
        <w:gridCol w:w="693"/>
        <w:gridCol w:w="693"/>
        <w:gridCol w:w="867"/>
        <w:gridCol w:w="622"/>
        <w:gridCol w:w="795"/>
        <w:gridCol w:w="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25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参加考核单位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栏目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更新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维护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5583" w:type="dxa"/>
            <w:gridSpan w:val="6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报送信息采用情况</w:t>
            </w:r>
          </w:p>
        </w:tc>
        <w:tc>
          <w:tcPr>
            <w:tcW w:w="7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信息分</w:t>
            </w:r>
          </w:p>
        </w:tc>
        <w:tc>
          <w:tcPr>
            <w:tcW w:w="6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平均分</w:t>
            </w:r>
          </w:p>
        </w:tc>
        <w:tc>
          <w:tcPr>
            <w:tcW w:w="6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及格线</w:t>
            </w:r>
          </w:p>
        </w:tc>
        <w:tc>
          <w:tcPr>
            <w:tcW w:w="86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得分</w:t>
            </w:r>
          </w:p>
        </w:tc>
        <w:tc>
          <w:tcPr>
            <w:tcW w:w="6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月排名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1-4月得分</w:t>
            </w:r>
          </w:p>
        </w:tc>
        <w:tc>
          <w:tcPr>
            <w:tcW w:w="5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1-4月排名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99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中心动态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每条2分）</w:t>
            </w: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经验介绍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每篇10分）</w:t>
            </w:r>
          </w:p>
        </w:tc>
        <w:tc>
          <w:tcPr>
            <w:tcW w:w="175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调查报告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每篇20分）</w:t>
            </w:r>
          </w:p>
        </w:tc>
        <w:tc>
          <w:tcPr>
            <w:tcW w:w="748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2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4月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1-4月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4月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1-4月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-4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748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2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523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秘书处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6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6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2.75</w:t>
            </w:r>
          </w:p>
        </w:tc>
        <w:tc>
          <w:tcPr>
            <w:tcW w:w="6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2.2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3.6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29.4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2523" w:type="dxa"/>
            <w:noWrap w:val="0"/>
            <w:vAlign w:val="top"/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审批管理处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1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3.6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3.6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交易管理处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7.2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综合管理处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0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机关党委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7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22.1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公共资源交易中心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19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16</w:t>
            </w: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29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76.2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投资项目审批代办服务中心（中介中心）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2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3.6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13.5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市民之家管理服务中心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7.4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</w:p>
        </w:tc>
      </w:tr>
    </w:tbl>
    <w:p>
      <w:pPr>
        <w:jc w:val="center"/>
        <w:rPr>
          <w:rFonts w:hint="eastAsia" w:ascii="仿宋" w:hAnsi="仿宋" w:eastAsia="仿宋"/>
          <w:sz w:val="24"/>
          <w:lang w:val="en-US" w:eastAsia="zh-CN"/>
        </w:rPr>
      </w:pPr>
    </w:p>
    <w:p/>
    <w:p/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77B2"/>
    <w:multiLevelType w:val="multilevel"/>
    <w:tmpl w:val="6B5C77B2"/>
    <w:lvl w:ilvl="0" w:tentative="0">
      <w:start w:val="1"/>
      <w:numFmt w:val="decimal"/>
      <w:lvlText w:val="%1."/>
      <w:lvlJc w:val="left"/>
      <w:pPr>
        <w:ind w:left="1005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81BE3"/>
    <w:rsid w:val="2B641C1C"/>
    <w:rsid w:val="7AD81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2020-05-18T01:34:00Z</dcterms:created>
  <dc:creator>匿名用户</dc:creator>
  <cp:lastModifiedBy>匿名用户</cp:lastModifiedBy>
  <dcterms:modified xsi:type="dcterms:W3CDTF">2020-05-18T02:42:13Z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